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42" w:rsidRPr="000D5060" w:rsidRDefault="00267D06">
      <w:pPr>
        <w:spacing w:after="6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44"/>
          <w:szCs w:val="44"/>
        </w:rPr>
        <w:t>BRIGHT FUTURES</w:t>
      </w:r>
    </w:p>
    <w:p w:rsidR="000E2942" w:rsidRPr="000D5060" w:rsidRDefault="00267D06">
      <w:pPr>
        <w:pBdr>
          <w:bottom w:val="single" w:sz="12" w:space="6" w:color="B7852B"/>
        </w:pBdr>
        <w:spacing w:after="4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595959"/>
          <w:sz w:val="26"/>
          <w:szCs w:val="26"/>
        </w:rPr>
        <w:t>Navigating Indian Scholarship Opportunities for Sri Lankan Students</w:t>
      </w:r>
    </w:p>
    <w:p w:rsidR="000E2942" w:rsidRPr="000D5060" w:rsidRDefault="00267D06">
      <w:pPr>
        <w:spacing w:before="120" w:after="300"/>
        <w:rPr>
          <w:rFonts w:ascii="Tahoma" w:hAnsi="Tahoma" w:cs="Tahoma"/>
        </w:rPr>
      </w:pPr>
      <w:r w:rsidRPr="000D5060">
        <w:rPr>
          <w:rFonts w:ascii="Tahoma" w:hAnsi="Tahoma" w:cs="Tahoma"/>
          <w:i/>
          <w:iCs/>
          <w:color w:val="595959"/>
          <w:sz w:val="18"/>
          <w:szCs w:val="18"/>
        </w:rPr>
        <w:t>A guide from the Education Wing, Hig</w:t>
      </w:r>
      <w:r w:rsidR="000D5060">
        <w:rPr>
          <w:rFonts w:ascii="Tahoma" w:hAnsi="Tahoma" w:cs="Tahoma"/>
          <w:i/>
          <w:iCs/>
          <w:color w:val="595959"/>
          <w:sz w:val="18"/>
          <w:szCs w:val="18"/>
        </w:rPr>
        <w:t xml:space="preserve">h Commission of India, Colombo • </w:t>
      </w:r>
      <w:r w:rsidRPr="000D5060">
        <w:rPr>
          <w:rFonts w:ascii="Tahoma" w:hAnsi="Tahoma" w:cs="Tahoma"/>
          <w:i/>
          <w:iCs/>
          <w:color w:val="595959"/>
          <w:sz w:val="18"/>
          <w:szCs w:val="18"/>
        </w:rPr>
        <w:t>Updated July 2026</w:t>
      </w:r>
    </w:p>
    <w:p w:rsidR="000E2942" w:rsidRPr="000D5060" w:rsidRDefault="00267D06">
      <w:pPr>
        <w:pStyle w:val="Heading1"/>
        <w:pBdr>
          <w:bottom w:val="single" w:sz="6" w:space="4" w:color="B7852B"/>
        </w:pBdr>
        <w:spacing w:before="320" w:after="16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30"/>
          <w:szCs w:val="30"/>
        </w:rPr>
        <w:t>1. A Shared Journey: The India–Sri Lanka Educational Bridge</w:t>
      </w: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 xml:space="preserve">For over two millennia, India and Sri Lanka have shared a profound </w:t>
      </w:r>
      <w:proofErr w:type="spellStart"/>
      <w:r w:rsidRPr="000D5060">
        <w:rPr>
          <w:rFonts w:ascii="Tahoma" w:hAnsi="Tahoma" w:cs="Tahoma"/>
          <w:sz w:val="21"/>
          <w:szCs w:val="21"/>
        </w:rPr>
        <w:t>civilisational</w:t>
      </w:r>
      <w:proofErr w:type="spellEnd"/>
      <w:r w:rsidRPr="000D5060">
        <w:rPr>
          <w:rFonts w:ascii="Tahoma" w:hAnsi="Tahoma" w:cs="Tahoma"/>
          <w:sz w:val="21"/>
          <w:szCs w:val="21"/>
        </w:rPr>
        <w:t xml:space="preserve"> connection built on intellectual, cultural, and spiritual exchange. This bond began in the ancient </w:t>
      </w:r>
      <w:proofErr w:type="spellStart"/>
      <w:r w:rsidRPr="000D5060">
        <w:rPr>
          <w:rFonts w:ascii="Tahoma" w:hAnsi="Tahoma" w:cs="Tahoma"/>
          <w:sz w:val="21"/>
          <w:szCs w:val="21"/>
        </w:rPr>
        <w:t>centres</w:t>
      </w:r>
      <w:proofErr w:type="spellEnd"/>
      <w:r w:rsidRPr="000D5060">
        <w:rPr>
          <w:rFonts w:ascii="Tahoma" w:hAnsi="Tahoma" w:cs="Tahoma"/>
          <w:sz w:val="21"/>
          <w:szCs w:val="21"/>
        </w:rPr>
        <w:t xml:space="preserve"> of learning at </w:t>
      </w:r>
      <w:proofErr w:type="spellStart"/>
      <w:r w:rsidRPr="000D5060">
        <w:rPr>
          <w:rFonts w:ascii="Tahoma" w:hAnsi="Tahoma" w:cs="Tahoma"/>
          <w:sz w:val="21"/>
          <w:szCs w:val="21"/>
        </w:rPr>
        <w:t>Nalanda</w:t>
      </w:r>
      <w:proofErr w:type="spellEnd"/>
      <w:r w:rsidRPr="000D5060">
        <w:rPr>
          <w:rFonts w:ascii="Tahoma" w:hAnsi="Tahoma" w:cs="Tahoma"/>
          <w:sz w:val="21"/>
          <w:szCs w:val="21"/>
        </w:rPr>
        <w:t xml:space="preserve"> and </w:t>
      </w:r>
      <w:proofErr w:type="spellStart"/>
      <w:r w:rsidRPr="000D5060">
        <w:rPr>
          <w:rFonts w:ascii="Tahoma" w:hAnsi="Tahoma" w:cs="Tahoma"/>
          <w:sz w:val="21"/>
          <w:szCs w:val="21"/>
        </w:rPr>
        <w:t>Takshashila</w:t>
      </w:r>
      <w:proofErr w:type="spellEnd"/>
      <w:r w:rsidRPr="000D5060">
        <w:rPr>
          <w:rFonts w:ascii="Tahoma" w:hAnsi="Tahoma" w:cs="Tahoma"/>
          <w:sz w:val="21"/>
          <w:szCs w:val="21"/>
        </w:rPr>
        <w:t xml:space="preserve"> and continues today through </w:t>
      </w:r>
      <w:r w:rsidRPr="000D5060">
        <w:rPr>
          <w:rFonts w:ascii="Tahoma" w:hAnsi="Tahoma" w:cs="Tahoma"/>
          <w:sz w:val="21"/>
          <w:szCs w:val="21"/>
        </w:rPr>
        <w:t>modern institutions such as the Indian Institutes of Technology (IITs), the Indian Institute of Science (IISc), and premier central universities.</w:t>
      </w: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Through India's education diplomacy, young Sri Lankan students gain access to world-class academic ecosystems.</w:t>
      </w:r>
      <w:r w:rsidRPr="000D5060">
        <w:rPr>
          <w:rFonts w:ascii="Tahoma" w:hAnsi="Tahoma" w:cs="Tahoma"/>
          <w:sz w:val="21"/>
          <w:szCs w:val="21"/>
        </w:rPr>
        <w:t xml:space="preserve"> By studying in India, students earn </w:t>
      </w:r>
      <w:r w:rsidRPr="000D5060">
        <w:rPr>
          <w:rFonts w:ascii="Tahoma" w:hAnsi="Tahoma" w:cs="Tahoma"/>
          <w:b/>
          <w:bCs/>
          <w:sz w:val="21"/>
          <w:szCs w:val="21"/>
        </w:rPr>
        <w:t xml:space="preserve">globally </w:t>
      </w:r>
      <w:proofErr w:type="spellStart"/>
      <w:r w:rsidRPr="000D5060">
        <w:rPr>
          <w:rFonts w:ascii="Tahoma" w:hAnsi="Tahoma" w:cs="Tahoma"/>
          <w:b/>
          <w:bCs/>
          <w:sz w:val="21"/>
          <w:szCs w:val="21"/>
        </w:rPr>
        <w:t>recognised</w:t>
      </w:r>
      <w:proofErr w:type="spellEnd"/>
      <w:r w:rsidRPr="000D5060">
        <w:rPr>
          <w:rFonts w:ascii="Tahoma" w:hAnsi="Tahoma" w:cs="Tahoma"/>
          <w:b/>
          <w:bCs/>
          <w:sz w:val="21"/>
          <w:szCs w:val="21"/>
        </w:rPr>
        <w:t xml:space="preserve"> degrees</w:t>
      </w:r>
      <w:r w:rsidRPr="000D5060">
        <w:rPr>
          <w:rFonts w:ascii="Tahoma" w:hAnsi="Tahoma" w:cs="Tahoma"/>
          <w:sz w:val="21"/>
          <w:szCs w:val="21"/>
        </w:rPr>
        <w:t xml:space="preserve"> and become part of a </w:t>
      </w:r>
      <w:r w:rsidRPr="000D5060">
        <w:rPr>
          <w:rFonts w:ascii="Tahoma" w:hAnsi="Tahoma" w:cs="Tahoma"/>
          <w:b/>
          <w:bCs/>
          <w:sz w:val="21"/>
          <w:szCs w:val="21"/>
        </w:rPr>
        <w:t>vibrant regional network</w:t>
      </w:r>
      <w:r w:rsidRPr="000D5060">
        <w:rPr>
          <w:rFonts w:ascii="Tahoma" w:hAnsi="Tahoma" w:cs="Tahoma"/>
          <w:sz w:val="21"/>
          <w:szCs w:val="21"/>
        </w:rPr>
        <w:t xml:space="preserve"> that supports research, shared prosperity, and future innovation. The partnership also extends beyond the classroom into non-formal avenues such </w:t>
      </w:r>
      <w:r w:rsidRPr="000D5060">
        <w:rPr>
          <w:rFonts w:ascii="Tahoma" w:hAnsi="Tahoma" w:cs="Tahoma"/>
          <w:sz w:val="21"/>
          <w:szCs w:val="21"/>
        </w:rPr>
        <w:t>as Indian classical music and dance, connecting shared heritage to future careers.</w:t>
      </w: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This long-standing partnership has produced several structured scholarship programmes that support Sri Lankan students at every stage of their academic journey — from second</w:t>
      </w:r>
      <w:r w:rsidRPr="000D5060">
        <w:rPr>
          <w:rFonts w:ascii="Tahoma" w:hAnsi="Tahoma" w:cs="Tahoma"/>
          <w:sz w:val="21"/>
          <w:szCs w:val="21"/>
        </w:rPr>
        <w:t>ary school through to doctoral research.</w:t>
      </w:r>
    </w:p>
    <w:p w:rsidR="000E2942" w:rsidRPr="000D5060" w:rsidRDefault="00267D06">
      <w:pPr>
        <w:pStyle w:val="Heading1"/>
        <w:pBdr>
          <w:bottom w:val="single" w:sz="6" w:space="4" w:color="B7852B"/>
        </w:pBdr>
        <w:spacing w:before="320" w:after="16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30"/>
          <w:szCs w:val="30"/>
        </w:rPr>
        <w:t>2. Choosing Your Path: The Three Flagship Scholarships at a Glance</w:t>
      </w:r>
    </w:p>
    <w:p w:rsidR="000E2942" w:rsidRPr="000D5060" w:rsidRDefault="00267D06">
      <w:pPr>
        <w:spacing w:after="160" w:line="276" w:lineRule="auto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Start by identifying which programme matches your current academic level and long-term goals.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600"/>
        <w:gridCol w:w="2000"/>
        <w:gridCol w:w="3350"/>
        <w:gridCol w:w="1400"/>
      </w:tblGrid>
      <w:tr w:rsidR="000E2942" w:rsidRPr="000D5060">
        <w:trPr>
          <w:tblHeader/>
        </w:trPr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  <w:b/>
                <w:bCs/>
                <w:color w:val="FFFFFF"/>
              </w:rPr>
              <w:t>Scholarship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  <w:b/>
                <w:bCs/>
                <w:color w:val="FFFFFF"/>
              </w:rPr>
              <w:t>Best For</w:t>
            </w:r>
          </w:p>
        </w:tc>
        <w:tc>
          <w:tcPr>
            <w:tcW w:w="3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  <w:b/>
                <w:bCs/>
                <w:color w:val="FFFFFF"/>
              </w:rPr>
              <w:t>Key Benefit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  <w:b/>
                <w:bCs/>
                <w:color w:val="FFFFFF"/>
              </w:rPr>
              <w:t>Annual Capacity</w:t>
            </w:r>
          </w:p>
        </w:tc>
      </w:tr>
      <w:tr w:rsidR="000E2942" w:rsidRPr="000D5060"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Mahatma Gandhi Scholarship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O-Level graduates entering A-Level</w:t>
            </w:r>
          </w:p>
        </w:tc>
        <w:tc>
          <w:tcPr>
            <w:tcW w:w="3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LKR 2,500 per month for 2 years of A-Level study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150 students (6 per district × 25 districts)</w:t>
            </w:r>
          </w:p>
        </w:tc>
      </w:tr>
      <w:tr w:rsidR="000E2942" w:rsidRPr="000D5060"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Aid to Sri Lanka Scholarship (ICCR)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UG, PG, and PhD seekers</w:t>
            </w:r>
          </w:p>
        </w:tc>
        <w:tc>
          <w:tcPr>
            <w:tcW w:w="3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 xml:space="preserve">Fully funded places at top </w:t>
            </w:r>
            <w:r w:rsidRPr="000D5060">
              <w:rPr>
                <w:rFonts w:ascii="Tahoma" w:hAnsi="Tahoma" w:cs="Tahoma"/>
              </w:rPr>
              <w:t>state/central universities, across 4 named schemes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~200 students</w:t>
            </w:r>
          </w:p>
        </w:tc>
      </w:tr>
      <w:tr w:rsidR="000E2942" w:rsidRPr="000D5060"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CEWET Scholarship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A-Level, UG, and vocational students (children of estate workers)</w:t>
            </w:r>
          </w:p>
        </w:tc>
        <w:tc>
          <w:tcPr>
            <w:tcW w:w="3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LKR 2,500/month (A-Level) or LKR 7,500/month (undergraduate)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700 students (doubled in the 2026 upgrade)</w:t>
            </w:r>
          </w:p>
        </w:tc>
      </w:tr>
    </w:tbl>
    <w:p w:rsidR="000E2942" w:rsidRPr="000D5060" w:rsidRDefault="00267D06">
      <w:pPr>
        <w:spacing w:before="160" w:after="160"/>
        <w:rPr>
          <w:rFonts w:ascii="Tahoma" w:hAnsi="Tahoma" w:cs="Tahoma"/>
        </w:rPr>
      </w:pPr>
      <w:r w:rsidRPr="000D5060">
        <w:rPr>
          <w:rFonts w:ascii="Tahoma" w:hAnsi="Tahoma" w:cs="Tahoma"/>
          <w:i/>
          <w:iCs/>
          <w:color w:val="595959"/>
          <w:sz w:val="21"/>
          <w:szCs w:val="21"/>
        </w:rPr>
        <w:t>Once you've identified the scheme that matches your academic level, review the specific requirements and benefits below.</w:t>
      </w:r>
    </w:p>
    <w:p w:rsidR="000E2942" w:rsidRPr="000D5060" w:rsidRDefault="00267D06">
      <w:pPr>
        <w:pStyle w:val="Heading1"/>
        <w:pBdr>
          <w:bottom w:val="single" w:sz="6" w:space="4" w:color="B7852B"/>
        </w:pBdr>
        <w:spacing w:before="320" w:after="16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30"/>
          <w:szCs w:val="30"/>
        </w:rPr>
        <w:t>3. Focusing on the Foundation: The Mahatma Gandhi Scholarship</w:t>
      </w: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lastRenderedPageBreak/>
        <w:t>The Mahatma Gandhi Scholarship is a "merit-cum-means" award, granted on t</w:t>
      </w:r>
      <w:r w:rsidRPr="000D5060">
        <w:rPr>
          <w:rFonts w:ascii="Tahoma" w:hAnsi="Tahoma" w:cs="Tahoma"/>
          <w:sz w:val="21"/>
          <w:szCs w:val="21"/>
        </w:rPr>
        <w:t>he basis of both academic excellence and financial need. It is designed to help students transition smoothly from secondary school into Advanced Level (A/Level) studies.</w:t>
      </w:r>
    </w:p>
    <w:p w:rsidR="000E2942" w:rsidRPr="000D5060" w:rsidRDefault="00267D06" w:rsidP="001E2925">
      <w:pPr>
        <w:pStyle w:val="ListParagraph"/>
        <w:numPr>
          <w:ilvl w:val="0"/>
          <w:numId w:val="2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Districts &amp; Distribution: </w:t>
      </w:r>
      <w:r w:rsidRPr="000D5060">
        <w:rPr>
          <w:rFonts w:ascii="Tahoma" w:hAnsi="Tahoma" w:cs="Tahoma"/>
          <w:sz w:val="21"/>
          <w:szCs w:val="21"/>
        </w:rPr>
        <w:t>To ensure geographic fairness, the programme allocates award</w:t>
      </w:r>
      <w:r w:rsidRPr="000D5060">
        <w:rPr>
          <w:rFonts w:ascii="Tahoma" w:hAnsi="Tahoma" w:cs="Tahoma"/>
          <w:sz w:val="21"/>
          <w:szCs w:val="21"/>
        </w:rPr>
        <w:t>s to six meritorious students from each of Sri Lanka's 25 districts (150 scholarships in total), giving rural and urban talent equal visibility.</w:t>
      </w:r>
    </w:p>
    <w:p w:rsidR="000E2942" w:rsidRPr="000D5060" w:rsidRDefault="00267D06" w:rsidP="001E2925">
      <w:pPr>
        <w:pStyle w:val="ListParagraph"/>
        <w:numPr>
          <w:ilvl w:val="0"/>
          <w:numId w:val="2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Selection Basis: </w:t>
      </w:r>
      <w:r w:rsidRPr="000D5060">
        <w:rPr>
          <w:rFonts w:ascii="Tahoma" w:hAnsi="Tahoma" w:cs="Tahoma"/>
          <w:sz w:val="21"/>
          <w:szCs w:val="21"/>
        </w:rPr>
        <w:t>Scholars are chosen in consultation with Sri Lanka's Ministry of Education, based on GCE O-Lev</w:t>
      </w:r>
      <w:r w:rsidRPr="000D5060">
        <w:rPr>
          <w:rFonts w:ascii="Tahoma" w:hAnsi="Tahoma" w:cs="Tahoma"/>
          <w:sz w:val="21"/>
          <w:szCs w:val="21"/>
        </w:rPr>
        <w:t>el results and merit-cum-means criteria.</w:t>
      </w:r>
    </w:p>
    <w:p w:rsidR="000E2942" w:rsidRPr="000D5060" w:rsidRDefault="00267D06" w:rsidP="001E2925">
      <w:pPr>
        <w:pStyle w:val="ListParagraph"/>
        <w:numPr>
          <w:ilvl w:val="0"/>
          <w:numId w:val="2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Award Ceremony: </w:t>
      </w:r>
      <w:r w:rsidRPr="000D5060">
        <w:rPr>
          <w:rFonts w:ascii="Tahoma" w:hAnsi="Tahoma" w:cs="Tahoma"/>
          <w:sz w:val="21"/>
          <w:szCs w:val="21"/>
        </w:rPr>
        <w:t>Scholarships are formally presented at an annual ceremony jointly held by the High Commission of India and Sri Lanka's Ministry of Education.</w:t>
      </w:r>
    </w:p>
    <w:tbl>
      <w:tblPr>
        <w:tblW w:w="9350" w:type="dxa"/>
        <w:tblBorders>
          <w:top w:val="single" w:sz="4" w:space="0" w:color="B7852B"/>
          <w:left w:val="single" w:sz="4" w:space="0" w:color="B7852B"/>
          <w:bottom w:val="single" w:sz="4" w:space="0" w:color="B7852B"/>
          <w:right w:val="single" w:sz="4" w:space="0" w:color="B7852B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350"/>
      </w:tblGrid>
      <w:tr w:rsidR="000E2942" w:rsidRPr="000D5060">
        <w:tc>
          <w:tcPr>
            <w:tcW w:w="9350" w:type="dxa"/>
            <w:shd w:val="clear" w:color="auto" w:fill="FFF7E6"/>
            <w:tcMar>
              <w:top w:w="140" w:type="dxa"/>
              <w:left w:w="160" w:type="dxa"/>
              <w:bottom w:w="140" w:type="dxa"/>
              <w:right w:w="16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Quick Fact: </w:t>
            </w:r>
            <w:r w:rsidRPr="000D5060">
              <w:rPr>
                <w:rFonts w:ascii="Tahoma" w:hAnsi="Tahoma" w:cs="Tahoma"/>
                <w:sz w:val="21"/>
                <w:szCs w:val="21"/>
              </w:rPr>
              <w:t>Selected scholars currently receive LKR 2,500</w:t>
            </w:r>
            <w:r w:rsidRPr="000D5060">
              <w:rPr>
                <w:rFonts w:ascii="Tahoma" w:hAnsi="Tahoma" w:cs="Tahoma"/>
                <w:sz w:val="21"/>
                <w:szCs w:val="21"/>
              </w:rPr>
              <w:t xml:space="preserve"> per month for two years to complete their Advanced Level education.</w:t>
            </w:r>
          </w:p>
        </w:tc>
      </w:tr>
    </w:tbl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 xml:space="preserve">While the Mahatma Gandhi scheme secures your secondary foundation, the next tier of support opens doors to full degree </w:t>
      </w:r>
      <w:proofErr w:type="spellStart"/>
      <w:r w:rsidRPr="000D5060">
        <w:rPr>
          <w:rFonts w:ascii="Tahoma" w:hAnsi="Tahoma" w:cs="Tahoma"/>
          <w:sz w:val="21"/>
          <w:szCs w:val="21"/>
        </w:rPr>
        <w:t>programmes</w:t>
      </w:r>
      <w:proofErr w:type="spellEnd"/>
      <w:r w:rsidRPr="000D5060">
        <w:rPr>
          <w:rFonts w:ascii="Tahoma" w:hAnsi="Tahoma" w:cs="Tahoma"/>
          <w:sz w:val="21"/>
          <w:szCs w:val="21"/>
        </w:rPr>
        <w:t xml:space="preserve"> and </w:t>
      </w:r>
      <w:proofErr w:type="spellStart"/>
      <w:r w:rsidRPr="000D5060">
        <w:rPr>
          <w:rFonts w:ascii="Tahoma" w:hAnsi="Tahoma" w:cs="Tahoma"/>
          <w:sz w:val="21"/>
          <w:szCs w:val="21"/>
        </w:rPr>
        <w:t>specialised</w:t>
      </w:r>
      <w:proofErr w:type="spellEnd"/>
      <w:r w:rsidRPr="000D5060">
        <w:rPr>
          <w:rFonts w:ascii="Tahoma" w:hAnsi="Tahoma" w:cs="Tahoma"/>
          <w:sz w:val="21"/>
          <w:szCs w:val="21"/>
        </w:rPr>
        <w:t xml:space="preserve"> research across India.</w:t>
      </w:r>
    </w:p>
    <w:p w:rsidR="000E2942" w:rsidRPr="000D5060" w:rsidRDefault="00267D06">
      <w:pPr>
        <w:pStyle w:val="Heading1"/>
        <w:pBdr>
          <w:bottom w:val="single" w:sz="6" w:space="4" w:color="B7852B"/>
        </w:pBdr>
        <w:spacing w:before="320" w:after="16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30"/>
          <w:szCs w:val="30"/>
        </w:rPr>
        <w:t xml:space="preserve">4. Expanding </w:t>
      </w:r>
      <w:r w:rsidRPr="000D5060">
        <w:rPr>
          <w:rFonts w:ascii="Tahoma" w:hAnsi="Tahoma" w:cs="Tahoma"/>
          <w:b/>
          <w:bCs/>
          <w:color w:val="1F3864"/>
          <w:sz w:val="30"/>
          <w:szCs w:val="30"/>
        </w:rPr>
        <w:t>Horizons: The Aid to Sri Lanka Scholarship Scheme</w:t>
      </w: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 xml:space="preserve">Administered by the Indian Council for Cultural Relations (ICCR), this is the premier scheme for students ready to enter university and pursue </w:t>
      </w:r>
      <w:proofErr w:type="spellStart"/>
      <w:r w:rsidRPr="000D5060">
        <w:rPr>
          <w:rFonts w:ascii="Tahoma" w:hAnsi="Tahoma" w:cs="Tahoma"/>
          <w:sz w:val="21"/>
          <w:szCs w:val="21"/>
        </w:rPr>
        <w:t>specialised</w:t>
      </w:r>
      <w:proofErr w:type="spellEnd"/>
      <w:r w:rsidRPr="000D5060">
        <w:rPr>
          <w:rFonts w:ascii="Tahoma" w:hAnsi="Tahoma" w:cs="Tahoma"/>
          <w:sz w:val="21"/>
          <w:szCs w:val="21"/>
        </w:rPr>
        <w:t xml:space="preserve"> higher education. Around 200 fully funded scholarsh</w:t>
      </w:r>
      <w:r w:rsidRPr="000D5060">
        <w:rPr>
          <w:rFonts w:ascii="Tahoma" w:hAnsi="Tahoma" w:cs="Tahoma"/>
          <w:sz w:val="21"/>
          <w:szCs w:val="21"/>
        </w:rPr>
        <w:t>ips are offered each year</w:t>
      </w:r>
      <w:r w:rsidR="00E43B81" w:rsidRPr="000D5060">
        <w:rPr>
          <w:rFonts w:ascii="Tahoma" w:hAnsi="Tahoma" w:cs="Tahoma"/>
          <w:sz w:val="21"/>
          <w:szCs w:val="21"/>
        </w:rPr>
        <w:t>.</w:t>
      </w:r>
    </w:p>
    <w:p w:rsidR="000E2942" w:rsidRPr="000D5060" w:rsidRDefault="00267D06">
      <w:pPr>
        <w:pStyle w:val="Heading2"/>
        <w:spacing w:before="240" w:after="12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24"/>
          <w:szCs w:val="24"/>
        </w:rPr>
        <w:t>The 3 Most Important Features</w:t>
      </w:r>
    </w:p>
    <w:p w:rsidR="000E2942" w:rsidRPr="000D5060" w:rsidRDefault="00267D06" w:rsidP="001E2925">
      <w:pPr>
        <w:pStyle w:val="ListParagraph"/>
        <w:numPr>
          <w:ilvl w:val="0"/>
          <w:numId w:val="3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Wide Range of Academic Levels: </w:t>
      </w:r>
      <w:r w:rsidRPr="000D5060">
        <w:rPr>
          <w:rFonts w:ascii="Tahoma" w:hAnsi="Tahoma" w:cs="Tahoma"/>
          <w:sz w:val="21"/>
          <w:szCs w:val="21"/>
        </w:rPr>
        <w:t>Opportunities span Undergraduate (UG), Postgraduate (PG), and PhD research programmes.</w:t>
      </w:r>
    </w:p>
    <w:p w:rsidR="000E2942" w:rsidRPr="000D5060" w:rsidRDefault="00267D06" w:rsidP="001E2925">
      <w:pPr>
        <w:pStyle w:val="ListParagraph"/>
        <w:numPr>
          <w:ilvl w:val="0"/>
          <w:numId w:val="3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Diverse Disciplines: </w:t>
      </w:r>
      <w:r w:rsidRPr="000D5060">
        <w:rPr>
          <w:rFonts w:ascii="Tahoma" w:hAnsi="Tahoma" w:cs="Tahoma"/>
          <w:sz w:val="21"/>
          <w:szCs w:val="21"/>
        </w:rPr>
        <w:t>Students can pursue Engineering, Science, Business, Economic</w:t>
      </w:r>
      <w:r w:rsidRPr="000D5060">
        <w:rPr>
          <w:rFonts w:ascii="Tahoma" w:hAnsi="Tahoma" w:cs="Tahoma"/>
          <w:sz w:val="21"/>
          <w:szCs w:val="21"/>
        </w:rPr>
        <w:t>s, Commerce, Information Technology, Agriculture, and the Humanities.</w:t>
      </w:r>
    </w:p>
    <w:p w:rsidR="000E2942" w:rsidRPr="000D5060" w:rsidRDefault="00267D06" w:rsidP="001E2925">
      <w:pPr>
        <w:pStyle w:val="ListParagraph"/>
        <w:numPr>
          <w:ilvl w:val="0"/>
          <w:numId w:val="3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Prestigious Institutions: </w:t>
      </w:r>
      <w:r w:rsidRPr="000D5060">
        <w:rPr>
          <w:rFonts w:ascii="Tahoma" w:hAnsi="Tahoma" w:cs="Tahoma"/>
          <w:sz w:val="21"/>
          <w:szCs w:val="21"/>
        </w:rPr>
        <w:t>The scheme places students in over a hundred of India's respected central and state universities/institutes.</w:t>
      </w:r>
    </w:p>
    <w:tbl>
      <w:tblPr>
        <w:tblW w:w="9350" w:type="dxa"/>
        <w:tblBorders>
          <w:top w:val="single" w:sz="4" w:space="0" w:color="B7852B"/>
          <w:left w:val="single" w:sz="4" w:space="0" w:color="B7852B"/>
          <w:bottom w:val="single" w:sz="4" w:space="0" w:color="B7852B"/>
          <w:right w:val="single" w:sz="4" w:space="0" w:color="B7852B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350"/>
      </w:tblGrid>
      <w:tr w:rsidR="000E2942" w:rsidRPr="000D5060">
        <w:tc>
          <w:tcPr>
            <w:tcW w:w="9350" w:type="dxa"/>
            <w:shd w:val="clear" w:color="auto" w:fill="FFF7E6"/>
            <w:tcMar>
              <w:top w:w="140" w:type="dxa"/>
              <w:left w:w="160" w:type="dxa"/>
              <w:bottom w:w="140" w:type="dxa"/>
              <w:right w:w="16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Note — Specific Exclusions: </w:t>
            </w:r>
            <w:r w:rsidRPr="000D5060">
              <w:rPr>
                <w:rFonts w:ascii="Tahoma" w:hAnsi="Tahoma" w:cs="Tahoma"/>
                <w:sz w:val="21"/>
                <w:szCs w:val="21"/>
              </w:rPr>
              <w:t>Medicine (MBBS), Parame</w:t>
            </w:r>
            <w:r w:rsidRPr="000D5060">
              <w:rPr>
                <w:rFonts w:ascii="Tahoma" w:hAnsi="Tahoma" w:cs="Tahoma"/>
                <w:sz w:val="21"/>
                <w:szCs w:val="21"/>
              </w:rPr>
              <w:t>dical courses, Law, and Fashion Design are not covered under the Aid to Sri Lanka Scholarship Scheme.</w:t>
            </w:r>
          </w:p>
        </w:tc>
      </w:tr>
    </w:tbl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 xml:space="preserve">Beyond general university admissions, the Government of India also provides targeted assistance to make higher education accessible to students from the </w:t>
      </w:r>
      <w:r w:rsidRPr="000D5060">
        <w:rPr>
          <w:rFonts w:ascii="Tahoma" w:hAnsi="Tahoma" w:cs="Tahoma"/>
          <w:sz w:val="21"/>
          <w:szCs w:val="21"/>
        </w:rPr>
        <w:t>estate worker community.</w:t>
      </w:r>
    </w:p>
    <w:p w:rsidR="000E2942" w:rsidRPr="000D5060" w:rsidRDefault="00267D06">
      <w:pPr>
        <w:pStyle w:val="Heading1"/>
        <w:pBdr>
          <w:bottom w:val="single" w:sz="6" w:space="4" w:color="B7852B"/>
        </w:pBdr>
        <w:spacing w:before="320" w:after="16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30"/>
          <w:szCs w:val="30"/>
        </w:rPr>
        <w:t xml:space="preserve">5. Empowering Communities: The CEWET Scholarship </w:t>
      </w: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The Ceylon Estate Workers' Education Trust (CEWET) is a cornerstone of India's commitment to educational equity in Sri Lanka, providing financial assistance to underprivileged child</w:t>
      </w:r>
      <w:r w:rsidRPr="000D5060">
        <w:rPr>
          <w:rFonts w:ascii="Tahoma" w:hAnsi="Tahoma" w:cs="Tahoma"/>
          <w:sz w:val="21"/>
          <w:szCs w:val="21"/>
        </w:rPr>
        <w:t>ren of estate workers. In 2026, the programme underwent a major expansion, announced during the Vice President of India's official visit to Sri Lanka in April 2026.</w:t>
      </w:r>
    </w:p>
    <w:p w:rsidR="000E2942" w:rsidRPr="000D5060" w:rsidRDefault="00267D06">
      <w:pPr>
        <w:pStyle w:val="Heading2"/>
        <w:spacing w:before="240" w:after="12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24"/>
          <w:szCs w:val="24"/>
        </w:rPr>
        <w:t>Old vs. New: The 2026 Expansion</w:t>
      </w:r>
    </w:p>
    <w:p w:rsidR="000E2942" w:rsidRPr="000D5060" w:rsidRDefault="00267D06">
      <w:pPr>
        <w:pStyle w:val="ListParagraph"/>
        <w:numPr>
          <w:ilvl w:val="0"/>
          <w:numId w:val="2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Annual Intake: </w:t>
      </w:r>
      <w:r w:rsidRPr="000D5060">
        <w:rPr>
          <w:rFonts w:ascii="Tahoma" w:hAnsi="Tahoma" w:cs="Tahoma"/>
          <w:sz w:val="21"/>
          <w:szCs w:val="21"/>
        </w:rPr>
        <w:t xml:space="preserve">Capacity has doubled from 350 to 700 </w:t>
      </w:r>
      <w:r w:rsidRPr="000D5060">
        <w:rPr>
          <w:rFonts w:ascii="Tahoma" w:hAnsi="Tahoma" w:cs="Tahoma"/>
          <w:sz w:val="21"/>
          <w:szCs w:val="21"/>
        </w:rPr>
        <w:t>scholarships per year.</w:t>
      </w:r>
    </w:p>
    <w:p w:rsidR="000E2942" w:rsidRPr="000D5060" w:rsidRDefault="00267D06">
      <w:pPr>
        <w:pStyle w:val="ListParagraph"/>
        <w:numPr>
          <w:ilvl w:val="0"/>
          <w:numId w:val="2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A-Level Monthly Stipend: </w:t>
      </w:r>
      <w:r w:rsidRPr="000D5060">
        <w:rPr>
          <w:rFonts w:ascii="Tahoma" w:hAnsi="Tahoma" w:cs="Tahoma"/>
          <w:sz w:val="21"/>
          <w:szCs w:val="21"/>
        </w:rPr>
        <w:t>Increased from LKR 750 to LKR 2,500 per month.</w:t>
      </w:r>
    </w:p>
    <w:p w:rsidR="000E2942" w:rsidRPr="000D5060" w:rsidRDefault="00267D06">
      <w:pPr>
        <w:pStyle w:val="ListParagraph"/>
        <w:numPr>
          <w:ilvl w:val="0"/>
          <w:numId w:val="2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lastRenderedPageBreak/>
        <w:t xml:space="preserve">Undergraduate Monthly Stipend: </w:t>
      </w:r>
      <w:r w:rsidRPr="000D5060">
        <w:rPr>
          <w:rFonts w:ascii="Tahoma" w:hAnsi="Tahoma" w:cs="Tahoma"/>
          <w:sz w:val="21"/>
          <w:szCs w:val="21"/>
        </w:rPr>
        <w:t>Increased from LKR 1,500 to LKR 7,500 per month.</w:t>
      </w: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This scholarship is versatile, covering GCE Advanced Levels, undergraduate degree</w:t>
      </w:r>
      <w:r w:rsidRPr="000D5060">
        <w:rPr>
          <w:rFonts w:ascii="Tahoma" w:hAnsi="Tahoma" w:cs="Tahoma"/>
          <w:sz w:val="21"/>
          <w:szCs w:val="21"/>
        </w:rPr>
        <w:t>s, and vocational/technical education at Government Technical Colleges. Eligible applicants must have passed GCE O-Level (minimum 6 credit passes) or A-Level, and be under 25 years of age.</w:t>
      </w:r>
    </w:p>
    <w:p w:rsidR="000E2942" w:rsidRPr="000D5060" w:rsidRDefault="00267D06">
      <w:pPr>
        <w:spacing w:after="160"/>
        <w:rPr>
          <w:rFonts w:ascii="Tahoma" w:hAnsi="Tahoma" w:cs="Tahoma"/>
        </w:rPr>
      </w:pPr>
      <w:r w:rsidRPr="000D5060">
        <w:rPr>
          <w:rFonts w:ascii="Tahoma" w:hAnsi="Tahoma" w:cs="Tahoma"/>
          <w:i/>
          <w:iCs/>
          <w:color w:val="595959"/>
          <w:sz w:val="21"/>
          <w:szCs w:val="21"/>
        </w:rPr>
        <w:t>Applications typically open in the first quarter of the year and cl</w:t>
      </w:r>
      <w:r w:rsidRPr="000D5060">
        <w:rPr>
          <w:rFonts w:ascii="Tahoma" w:hAnsi="Tahoma" w:cs="Tahoma"/>
          <w:i/>
          <w:iCs/>
          <w:color w:val="595959"/>
          <w:sz w:val="21"/>
          <w:szCs w:val="21"/>
        </w:rPr>
        <w:t>ose around late April (for example, 28 April in 2025 and 2026) — check the High Commission's website for the current year's exact deadline, as it can shift slightly year to year.</w:t>
      </w:r>
    </w:p>
    <w:p w:rsidR="000E2942" w:rsidRPr="000D5060" w:rsidRDefault="00267D06">
      <w:pPr>
        <w:pStyle w:val="Heading1"/>
        <w:pBdr>
          <w:bottom w:val="single" w:sz="6" w:space="4" w:color="B7852B"/>
        </w:pBdr>
        <w:spacing w:before="320" w:after="16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30"/>
          <w:szCs w:val="30"/>
        </w:rPr>
        <w:t>6. Your Roadmap: Application Pathways and Checklists</w:t>
      </w:r>
    </w:p>
    <w:p w:rsidR="000E2942" w:rsidRPr="000D5060" w:rsidRDefault="00267D06">
      <w:pPr>
        <w:pStyle w:val="Heading2"/>
        <w:spacing w:before="240" w:after="12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24"/>
          <w:szCs w:val="24"/>
        </w:rPr>
        <w:t>Pathway A: ICCR / Aid to</w:t>
      </w:r>
      <w:r w:rsidRPr="000D5060">
        <w:rPr>
          <w:rFonts w:ascii="Tahoma" w:hAnsi="Tahoma" w:cs="Tahoma"/>
          <w:b/>
          <w:bCs/>
          <w:color w:val="1F3864"/>
          <w:sz w:val="24"/>
          <w:szCs w:val="24"/>
        </w:rPr>
        <w:t xml:space="preserve"> Sri Lanka (Digital &amp; Local)</w:t>
      </w:r>
    </w:p>
    <w:p w:rsidR="000E2942" w:rsidRPr="000D5060" w:rsidRDefault="00267D06">
      <w:pPr>
        <w:spacing w:after="160" w:line="276" w:lineRule="auto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For university degrees in India, applications follow a seasonal timeline. Begin preparing digital documents early to avoid delays during online onboarding.</w:t>
      </w:r>
    </w:p>
    <w:p w:rsidR="000E2942" w:rsidRPr="000D5060" w:rsidRDefault="00267D06" w:rsidP="001E2925">
      <w:pPr>
        <w:pStyle w:val="ListParagraph"/>
        <w:numPr>
          <w:ilvl w:val="0"/>
          <w:numId w:val="2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January – March: </w:t>
      </w:r>
      <w:r w:rsidRPr="000D5060">
        <w:rPr>
          <w:rFonts w:ascii="Tahoma" w:hAnsi="Tahoma" w:cs="Tahoma"/>
          <w:sz w:val="21"/>
          <w:szCs w:val="21"/>
        </w:rPr>
        <w:t>Monitor Sri Lanka's Ministry of Education, Higher Educ</w:t>
      </w:r>
      <w:r w:rsidRPr="000D5060">
        <w:rPr>
          <w:rFonts w:ascii="Tahoma" w:hAnsi="Tahoma" w:cs="Tahoma"/>
          <w:sz w:val="21"/>
          <w:szCs w:val="21"/>
        </w:rPr>
        <w:t>ation &amp; Vocational Education website (mohe.gov.lk) and submit the local nomination application before the deadline (typically mid-March).</w:t>
      </w:r>
    </w:p>
    <w:p w:rsidR="000E2942" w:rsidRPr="000D5060" w:rsidRDefault="00267D06" w:rsidP="001E2925">
      <w:pPr>
        <w:pStyle w:val="ListParagraph"/>
        <w:numPr>
          <w:ilvl w:val="0"/>
          <w:numId w:val="2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February onward: </w:t>
      </w:r>
      <w:r w:rsidRPr="000D5060">
        <w:rPr>
          <w:rFonts w:ascii="Tahoma" w:hAnsi="Tahoma" w:cs="Tahoma"/>
          <w:sz w:val="21"/>
          <w:szCs w:val="21"/>
        </w:rPr>
        <w:t>ICCR's national A2A Scholarship Portal opens for online applications; you may list up to five preferr</w:t>
      </w:r>
      <w:r w:rsidRPr="000D5060">
        <w:rPr>
          <w:rFonts w:ascii="Tahoma" w:hAnsi="Tahoma" w:cs="Tahoma"/>
          <w:sz w:val="21"/>
          <w:szCs w:val="21"/>
        </w:rPr>
        <w:t>ed universities/institutes in order of preference.</w:t>
      </w:r>
    </w:p>
    <w:p w:rsidR="000E2942" w:rsidRPr="000D5060" w:rsidRDefault="00267D06" w:rsidP="001E2925">
      <w:pPr>
        <w:pStyle w:val="ListParagraph"/>
        <w:numPr>
          <w:ilvl w:val="0"/>
          <w:numId w:val="2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March – April: </w:t>
      </w:r>
      <w:r w:rsidRPr="000D5060">
        <w:rPr>
          <w:rFonts w:ascii="Tahoma" w:hAnsi="Tahoma" w:cs="Tahoma"/>
          <w:sz w:val="21"/>
          <w:szCs w:val="21"/>
        </w:rPr>
        <w:t>Undergo academic screening and interviews conducted by the High Commission and the Ministry of Education.</w:t>
      </w:r>
    </w:p>
    <w:p w:rsidR="000E2942" w:rsidRPr="000D5060" w:rsidRDefault="00267D06" w:rsidP="001E2925">
      <w:pPr>
        <w:pStyle w:val="ListParagraph"/>
        <w:numPr>
          <w:ilvl w:val="0"/>
          <w:numId w:val="2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After Selection: </w:t>
      </w:r>
      <w:r w:rsidRPr="000D5060">
        <w:rPr>
          <w:rFonts w:ascii="Tahoma" w:hAnsi="Tahoma" w:cs="Tahoma"/>
          <w:sz w:val="21"/>
          <w:szCs w:val="21"/>
        </w:rPr>
        <w:t>Complete digital onboarding on the ICCR A2A Portal, then register o</w:t>
      </w:r>
      <w:r w:rsidRPr="000D5060">
        <w:rPr>
          <w:rFonts w:ascii="Tahoma" w:hAnsi="Tahoma" w:cs="Tahoma"/>
          <w:sz w:val="21"/>
          <w:szCs w:val="21"/>
        </w:rPr>
        <w:t>n the SII portal to obtain a Unique ID for visa and FRRO processing.</w:t>
      </w:r>
    </w:p>
    <w:p w:rsidR="000E2942" w:rsidRPr="000D5060" w:rsidRDefault="00267D06">
      <w:pPr>
        <w:pStyle w:val="Heading2"/>
        <w:spacing w:before="240" w:after="12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24"/>
          <w:szCs w:val="24"/>
        </w:rPr>
        <w:t>Pathway B: CEWET (Physical Submission)</w:t>
      </w: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Applications for CEWET must be submitted physically. Duly completed hardcopy forms must be sent to: Honorary Secretary, CEWET, c/o High Commission o</w:t>
      </w:r>
      <w:r w:rsidRPr="000D5060">
        <w:rPr>
          <w:rFonts w:ascii="Tahoma" w:hAnsi="Tahoma" w:cs="Tahoma"/>
          <w:sz w:val="21"/>
          <w:szCs w:val="21"/>
        </w:rPr>
        <w:t>f India, P.O. Box 882, Galle Road, Colombo 03. Forms can also be collected from the High Commission (36-38, Galle Road, Colombo 03) or the Assistant High Commission in Kandy.</w:t>
      </w:r>
    </w:p>
    <w:p w:rsidR="000E2942" w:rsidRPr="000D5060" w:rsidRDefault="00267D06">
      <w:pPr>
        <w:pStyle w:val="ListParagraph"/>
        <w:numPr>
          <w:ilvl w:val="0"/>
          <w:numId w:val="4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Birth Certificate: A valid copy of the applicant's certificate.</w:t>
      </w:r>
    </w:p>
    <w:p w:rsidR="000E2942" w:rsidRPr="000D5060" w:rsidRDefault="00267D06">
      <w:pPr>
        <w:pStyle w:val="ListParagraph"/>
        <w:numPr>
          <w:ilvl w:val="0"/>
          <w:numId w:val="4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Result Sheets: Ce</w:t>
      </w:r>
      <w:r w:rsidRPr="000D5060">
        <w:rPr>
          <w:rFonts w:ascii="Tahoma" w:hAnsi="Tahoma" w:cs="Tahoma"/>
          <w:sz w:val="21"/>
          <w:szCs w:val="21"/>
        </w:rPr>
        <w:t>rtified copies of GCE O-Level or A-Level results.</w:t>
      </w:r>
    </w:p>
    <w:p w:rsidR="000E2942" w:rsidRPr="000D5060" w:rsidRDefault="00267D06">
      <w:pPr>
        <w:pStyle w:val="ListParagraph"/>
        <w:numPr>
          <w:ilvl w:val="0"/>
          <w:numId w:val="4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Estate Superintendent's Certificate: Original document validating parental occupation.</w:t>
      </w:r>
    </w:p>
    <w:p w:rsidR="000E2942" w:rsidRPr="000D5060" w:rsidRDefault="00267D06">
      <w:pPr>
        <w:pStyle w:val="ListParagraph"/>
        <w:numPr>
          <w:ilvl w:val="0"/>
          <w:numId w:val="4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Salary Slips: Latest official slips for both parents.</w:t>
      </w:r>
    </w:p>
    <w:p w:rsidR="000E2942" w:rsidRPr="000D5060" w:rsidRDefault="00267D06">
      <w:pPr>
        <w:pStyle w:val="ListParagraph"/>
        <w:numPr>
          <w:ilvl w:val="0"/>
          <w:numId w:val="4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 xml:space="preserve">Bank Passbook: A clear copy of the first page of the applicant's </w:t>
      </w:r>
      <w:r w:rsidRPr="000D5060">
        <w:rPr>
          <w:rFonts w:ascii="Tahoma" w:hAnsi="Tahoma" w:cs="Tahoma"/>
          <w:sz w:val="21"/>
          <w:szCs w:val="21"/>
        </w:rPr>
        <w:t>latest passbook.</w:t>
      </w:r>
    </w:p>
    <w:p w:rsidR="000E2942" w:rsidRPr="000D5060" w:rsidRDefault="000E2942">
      <w:pPr>
        <w:spacing w:before="160" w:after="160"/>
        <w:rPr>
          <w:rFonts w:ascii="Tahoma" w:hAnsi="Tahoma" w:cs="Tahoma"/>
        </w:rPr>
      </w:pP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For students who find the full-scholarship quotas highly competitive, or who are set on specific professional tracks, self-financed reserved slots offer an alternative pathway.</w:t>
      </w:r>
    </w:p>
    <w:p w:rsidR="000E2942" w:rsidRPr="000D5060" w:rsidRDefault="00267D06">
      <w:pPr>
        <w:pStyle w:val="Heading1"/>
        <w:pBdr>
          <w:bottom w:val="single" w:sz="6" w:space="4" w:color="B7852B"/>
        </w:pBdr>
        <w:spacing w:before="320" w:after="16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30"/>
          <w:szCs w:val="30"/>
        </w:rPr>
        <w:t>7. Alternative Route: Self-Financed Reserved Slots</w:t>
      </w: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For studen</w:t>
      </w:r>
      <w:r w:rsidRPr="000D5060">
        <w:rPr>
          <w:rFonts w:ascii="Tahoma" w:hAnsi="Tahoma" w:cs="Tahoma"/>
          <w:sz w:val="21"/>
          <w:szCs w:val="21"/>
        </w:rPr>
        <w:t xml:space="preserve">ts pursuing highly competitive, </w:t>
      </w:r>
      <w:proofErr w:type="spellStart"/>
      <w:r w:rsidRPr="000D5060">
        <w:rPr>
          <w:rFonts w:ascii="Tahoma" w:hAnsi="Tahoma" w:cs="Tahoma"/>
          <w:sz w:val="21"/>
          <w:szCs w:val="21"/>
        </w:rPr>
        <w:t>specialised</w:t>
      </w:r>
      <w:proofErr w:type="spellEnd"/>
      <w:r w:rsidRPr="000D5060">
        <w:rPr>
          <w:rFonts w:ascii="Tahoma" w:hAnsi="Tahoma" w:cs="Tahoma"/>
          <w:sz w:val="21"/>
          <w:szCs w:val="21"/>
        </w:rPr>
        <w:t xml:space="preserve"> fields not covered by the main scholarship schemes, the Government of India offers reserved seats in top-tier government institutions on a self-financed basis.</w:t>
      </w:r>
    </w:p>
    <w:p w:rsidR="000E2942" w:rsidRPr="000D5060" w:rsidRDefault="00267D06" w:rsidP="001E2925">
      <w:pPr>
        <w:pStyle w:val="ListParagraph"/>
        <w:numPr>
          <w:ilvl w:val="0"/>
          <w:numId w:val="2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lastRenderedPageBreak/>
        <w:t xml:space="preserve">Available Fields: </w:t>
      </w:r>
      <w:r w:rsidRPr="000D5060">
        <w:rPr>
          <w:rFonts w:ascii="Tahoma" w:hAnsi="Tahoma" w:cs="Tahoma"/>
          <w:sz w:val="21"/>
          <w:szCs w:val="21"/>
        </w:rPr>
        <w:t>Undergraduate professional degrees</w:t>
      </w:r>
      <w:r w:rsidRPr="000D5060">
        <w:rPr>
          <w:rFonts w:ascii="Tahoma" w:hAnsi="Tahoma" w:cs="Tahoma"/>
          <w:sz w:val="21"/>
          <w:szCs w:val="21"/>
        </w:rPr>
        <w:t xml:space="preserve"> in Medicine (MBBS), Pharmacy (</w:t>
      </w:r>
      <w:proofErr w:type="spellStart"/>
      <w:r w:rsidRPr="000D5060">
        <w:rPr>
          <w:rFonts w:ascii="Tahoma" w:hAnsi="Tahoma" w:cs="Tahoma"/>
          <w:sz w:val="21"/>
          <w:szCs w:val="21"/>
        </w:rPr>
        <w:t>B.Pharm</w:t>
      </w:r>
      <w:proofErr w:type="spellEnd"/>
      <w:r w:rsidRPr="000D5060">
        <w:rPr>
          <w:rFonts w:ascii="Tahoma" w:hAnsi="Tahoma" w:cs="Tahoma"/>
          <w:sz w:val="21"/>
          <w:szCs w:val="21"/>
        </w:rPr>
        <w:t>.), and Engineering (B.E. / B.Tech.).</w:t>
      </w:r>
    </w:p>
    <w:p w:rsidR="000E2942" w:rsidRPr="000D5060" w:rsidRDefault="00267D06" w:rsidP="001E2925">
      <w:pPr>
        <w:pStyle w:val="ListParagraph"/>
        <w:numPr>
          <w:ilvl w:val="0"/>
          <w:numId w:val="2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Application Window: </w:t>
      </w:r>
      <w:r w:rsidRPr="000D5060">
        <w:rPr>
          <w:rFonts w:ascii="Tahoma" w:hAnsi="Tahoma" w:cs="Tahoma"/>
          <w:sz w:val="21"/>
          <w:szCs w:val="21"/>
        </w:rPr>
        <w:t>Forms are made available exclusively in June/July each year.</w:t>
      </w:r>
    </w:p>
    <w:p w:rsidR="000E2942" w:rsidRPr="000D5060" w:rsidRDefault="00267D06" w:rsidP="001E2925">
      <w:pPr>
        <w:pStyle w:val="ListParagraph"/>
        <w:numPr>
          <w:ilvl w:val="0"/>
          <w:numId w:val="2"/>
        </w:numPr>
        <w:spacing w:after="90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Location: </w:t>
      </w:r>
      <w:r w:rsidRPr="000D5060">
        <w:rPr>
          <w:rFonts w:ascii="Tahoma" w:hAnsi="Tahoma" w:cs="Tahoma"/>
          <w:sz w:val="21"/>
          <w:szCs w:val="21"/>
        </w:rPr>
        <w:t>Forms must be obtained from the Education Wing of the High Commission of India in Colombo</w:t>
      </w:r>
      <w:r w:rsidRPr="000D5060">
        <w:rPr>
          <w:rFonts w:ascii="Tahoma" w:hAnsi="Tahoma" w:cs="Tahoma"/>
          <w:sz w:val="21"/>
          <w:szCs w:val="21"/>
        </w:rPr>
        <w:t>.</w:t>
      </w:r>
    </w:p>
    <w:p w:rsidR="000E2942" w:rsidRPr="000D5060" w:rsidRDefault="00267D06" w:rsidP="001E2925">
      <w:pPr>
        <w:spacing w:after="160" w:line="276" w:lineRule="auto"/>
        <w:jc w:val="both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Whether pursuing a full scholarship or a reserved seat, having the correct contact details and verified web portals is essential to a successful application.</w:t>
      </w:r>
    </w:p>
    <w:p w:rsidR="000E2942" w:rsidRPr="000D5060" w:rsidRDefault="00267D06">
      <w:pPr>
        <w:pStyle w:val="Heading1"/>
        <w:pBdr>
          <w:bottom w:val="single" w:sz="6" w:space="4" w:color="B7852B"/>
        </w:pBdr>
        <w:spacing w:before="320" w:after="16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30"/>
          <w:szCs w:val="30"/>
        </w:rPr>
        <w:t>8. Student Reference Desk &amp; Contact Directory</w:t>
      </w:r>
    </w:p>
    <w:p w:rsidR="000E2942" w:rsidRPr="000D5060" w:rsidRDefault="00267D06">
      <w:pPr>
        <w:pStyle w:val="Heading2"/>
        <w:spacing w:before="240" w:after="12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24"/>
          <w:szCs w:val="24"/>
        </w:rPr>
        <w:t>Essential Portals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380"/>
        <w:gridCol w:w="2708"/>
        <w:gridCol w:w="4262"/>
      </w:tblGrid>
      <w:tr w:rsidR="000E2942" w:rsidRPr="000D5060">
        <w:trPr>
          <w:tblHeader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  <w:b/>
                <w:bCs/>
                <w:color w:val="FFFFFF"/>
              </w:rPr>
              <w:t>Portal Name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  <w:b/>
                <w:bCs/>
                <w:color w:val="FFFFFF"/>
              </w:rPr>
              <w:t>Website</w:t>
            </w:r>
          </w:p>
        </w:tc>
        <w:tc>
          <w:tcPr>
            <w:tcW w:w="4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  <w:b/>
                <w:bCs/>
                <w:color w:val="FFFFFF"/>
              </w:rPr>
              <w:t>Primary Purp</w:t>
            </w:r>
            <w:r w:rsidRPr="000D5060">
              <w:rPr>
                <w:rFonts w:ascii="Tahoma" w:hAnsi="Tahoma" w:cs="Tahoma"/>
                <w:b/>
                <w:bCs/>
                <w:color w:val="FFFFFF"/>
              </w:rPr>
              <w:t>ose</w:t>
            </w:r>
          </w:p>
        </w:tc>
      </w:tr>
      <w:tr w:rsidR="000E2942" w:rsidRPr="000D5060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Ministry of Education, Higher Education &amp; Vocational Education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9229DD">
            <w:pPr>
              <w:rPr>
                <w:rFonts w:ascii="Tahoma" w:hAnsi="Tahoma" w:cs="Tahoma"/>
              </w:rPr>
            </w:pPr>
            <w:hyperlink r:id="rId5" w:history="1">
              <w:r w:rsidR="00267D06" w:rsidRPr="000D5060">
                <w:rPr>
                  <w:rStyle w:val="Hyperlink"/>
                  <w:rFonts w:ascii="Tahoma" w:hAnsi="Tahoma" w:cs="Tahoma"/>
                  <w:sz w:val="21"/>
                  <w:szCs w:val="21"/>
                </w:rPr>
                <w:t>www.mohe.gov.lk</w:t>
              </w:r>
            </w:hyperlink>
          </w:p>
        </w:tc>
        <w:tc>
          <w:tcPr>
            <w:tcW w:w="4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Primary scholarship announcements and local screening/nomination.</w:t>
            </w:r>
          </w:p>
        </w:tc>
      </w:tr>
      <w:tr w:rsidR="000E2942" w:rsidRPr="000D5060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University Grants Commission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9229DD">
            <w:pPr>
              <w:rPr>
                <w:rFonts w:ascii="Tahoma" w:hAnsi="Tahoma" w:cs="Tahoma"/>
              </w:rPr>
            </w:pPr>
            <w:hyperlink r:id="rId6" w:history="1">
              <w:r w:rsidR="00267D06" w:rsidRPr="000D5060">
                <w:rPr>
                  <w:rStyle w:val="Hyperlink"/>
                  <w:rFonts w:ascii="Tahoma" w:hAnsi="Tahoma" w:cs="Tahoma"/>
                  <w:sz w:val="21"/>
                  <w:szCs w:val="21"/>
                </w:rPr>
                <w:t>www.ugc.ac.lk</w:t>
              </w:r>
            </w:hyperlink>
          </w:p>
        </w:tc>
        <w:tc>
          <w:tcPr>
            <w:tcW w:w="4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Verification of accredited universities and degree equivalency.</w:t>
            </w:r>
          </w:p>
        </w:tc>
      </w:tr>
      <w:tr w:rsidR="000E2942" w:rsidRPr="000D5060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ICCR A2A Portal</w:t>
            </w:r>
          </w:p>
        </w:tc>
        <w:tc>
          <w:tcPr>
            <w:tcW w:w="2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9229DD">
            <w:pPr>
              <w:rPr>
                <w:rFonts w:ascii="Tahoma" w:hAnsi="Tahoma" w:cs="Tahoma"/>
              </w:rPr>
            </w:pPr>
            <w:hyperlink r:id="rId7" w:history="1">
              <w:r w:rsidR="00267D06" w:rsidRPr="000D5060">
                <w:rPr>
                  <w:rStyle w:val="Hyperlink"/>
                  <w:rFonts w:ascii="Tahoma" w:hAnsi="Tahoma" w:cs="Tahoma"/>
                  <w:sz w:val="21"/>
                  <w:szCs w:val="21"/>
                </w:rPr>
                <w:t>a2ascholarships.iccr.gov.in</w:t>
              </w:r>
            </w:hyperlink>
          </w:p>
        </w:tc>
        <w:tc>
          <w:tcPr>
            <w:tcW w:w="4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E2942" w:rsidRPr="000D5060" w:rsidRDefault="00267D06">
            <w:pPr>
              <w:rPr>
                <w:rFonts w:ascii="Tahoma" w:hAnsi="Tahoma" w:cs="Tahoma"/>
              </w:rPr>
            </w:pPr>
            <w:r w:rsidRPr="000D5060">
              <w:rPr>
                <w:rFonts w:ascii="Tahoma" w:hAnsi="Tahoma" w:cs="Tahoma"/>
              </w:rPr>
              <w:t>Digital onboarding and application tracking for India-based study.</w:t>
            </w:r>
          </w:p>
        </w:tc>
      </w:tr>
    </w:tbl>
    <w:p w:rsidR="000E2942" w:rsidRPr="000D5060" w:rsidRDefault="00267D06">
      <w:pPr>
        <w:pStyle w:val="Heading2"/>
        <w:spacing w:before="240" w:after="12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color w:val="1F3864"/>
          <w:sz w:val="24"/>
          <w:szCs w:val="24"/>
        </w:rPr>
        <w:t xml:space="preserve">Contact the </w:t>
      </w:r>
      <w:r w:rsidRPr="000D5060">
        <w:rPr>
          <w:rFonts w:ascii="Tahoma" w:hAnsi="Tahoma" w:cs="Tahoma"/>
          <w:b/>
          <w:bCs/>
          <w:color w:val="1F3864"/>
          <w:sz w:val="24"/>
          <w:szCs w:val="24"/>
        </w:rPr>
        <w:t>High Commission Education Team</w:t>
      </w:r>
    </w:p>
    <w:p w:rsidR="000E2942" w:rsidRPr="000D5060" w:rsidRDefault="00267D06">
      <w:pPr>
        <w:spacing w:after="160" w:line="276" w:lineRule="auto"/>
        <w:rPr>
          <w:rFonts w:ascii="Tahoma" w:hAnsi="Tahoma" w:cs="Tahoma"/>
        </w:rPr>
      </w:pPr>
      <w:r w:rsidRPr="000D5060">
        <w:rPr>
          <w:rFonts w:ascii="Tahoma" w:hAnsi="Tahoma" w:cs="Tahoma"/>
          <w:sz w:val="21"/>
          <w:szCs w:val="21"/>
        </w:rPr>
        <w:t>For inquiries regarding eligibility or application status, contact the dedicated Education Wing helpdesk:</w:t>
      </w:r>
    </w:p>
    <w:p w:rsidR="000E2942" w:rsidRPr="000D5060" w:rsidRDefault="00267D06">
      <w:pPr>
        <w:pStyle w:val="ListParagraph"/>
        <w:numPr>
          <w:ilvl w:val="0"/>
          <w:numId w:val="2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Head of Wing: </w:t>
      </w:r>
      <w:r w:rsidRPr="000D5060">
        <w:rPr>
          <w:rFonts w:ascii="Tahoma" w:hAnsi="Tahoma" w:cs="Tahoma"/>
          <w:sz w:val="21"/>
          <w:szCs w:val="21"/>
        </w:rPr>
        <w:t>Mr. Sandeep Chaudhary, First Secretary (Education)</w:t>
      </w:r>
    </w:p>
    <w:p w:rsidR="000E2942" w:rsidRPr="000D5060" w:rsidRDefault="00267D06">
      <w:pPr>
        <w:pStyle w:val="ListParagraph"/>
        <w:numPr>
          <w:ilvl w:val="0"/>
          <w:numId w:val="2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Official Email: </w:t>
      </w:r>
      <w:hyperlink r:id="rId8" w:history="1">
        <w:r w:rsidRPr="000D5060">
          <w:rPr>
            <w:rStyle w:val="Hyperlink"/>
            <w:rFonts w:ascii="Tahoma" w:hAnsi="Tahoma" w:cs="Tahoma"/>
            <w:sz w:val="21"/>
            <w:szCs w:val="21"/>
          </w:rPr>
          <w:t>edu.colombo@mea.gov.in</w:t>
        </w:r>
      </w:hyperlink>
      <w:r w:rsidR="00335C8C" w:rsidRPr="000D5060">
        <w:rPr>
          <w:rStyle w:val="Hyperlink"/>
          <w:rFonts w:ascii="Tahoma" w:hAnsi="Tahoma" w:cs="Tahoma"/>
          <w:sz w:val="21"/>
          <w:szCs w:val="21"/>
        </w:rPr>
        <w:t>/ eduwing.colombo@mea.gov.in</w:t>
      </w:r>
    </w:p>
    <w:p w:rsidR="000E2942" w:rsidRPr="000D5060" w:rsidRDefault="00267D06">
      <w:pPr>
        <w:pStyle w:val="ListParagraph"/>
        <w:numPr>
          <w:ilvl w:val="0"/>
          <w:numId w:val="2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Direct Landline: </w:t>
      </w:r>
      <w:r w:rsidRPr="000D5060">
        <w:rPr>
          <w:rFonts w:ascii="Tahoma" w:hAnsi="Tahoma" w:cs="Tahoma"/>
          <w:sz w:val="21"/>
          <w:szCs w:val="21"/>
        </w:rPr>
        <w:t>011-2327515</w:t>
      </w:r>
    </w:p>
    <w:p w:rsidR="000E2942" w:rsidRPr="000D5060" w:rsidRDefault="00267D06">
      <w:pPr>
        <w:pStyle w:val="ListParagraph"/>
        <w:numPr>
          <w:ilvl w:val="0"/>
          <w:numId w:val="2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General Enquiries (Switchboard): </w:t>
      </w:r>
      <w:r w:rsidRPr="000D5060">
        <w:rPr>
          <w:rFonts w:ascii="Tahoma" w:hAnsi="Tahoma" w:cs="Tahoma"/>
          <w:sz w:val="21"/>
          <w:szCs w:val="21"/>
        </w:rPr>
        <w:t>+94 11 2327587 / +94 11 2421605</w:t>
      </w:r>
    </w:p>
    <w:p w:rsidR="000E2942" w:rsidRPr="000D5060" w:rsidRDefault="00267D06">
      <w:pPr>
        <w:pStyle w:val="ListParagraph"/>
        <w:numPr>
          <w:ilvl w:val="0"/>
          <w:numId w:val="2"/>
        </w:numPr>
        <w:spacing w:after="90"/>
        <w:rPr>
          <w:rFonts w:ascii="Tahoma" w:hAnsi="Tahoma" w:cs="Tahoma"/>
        </w:rPr>
      </w:pPr>
      <w:r w:rsidRPr="000D5060">
        <w:rPr>
          <w:rFonts w:ascii="Tahoma" w:hAnsi="Tahoma" w:cs="Tahoma"/>
          <w:b/>
          <w:bCs/>
          <w:sz w:val="21"/>
          <w:szCs w:val="21"/>
        </w:rPr>
        <w:t xml:space="preserve">Mailing Address: </w:t>
      </w:r>
      <w:r w:rsidRPr="000D5060">
        <w:rPr>
          <w:rFonts w:ascii="Tahoma" w:hAnsi="Tahoma" w:cs="Tahoma"/>
          <w:sz w:val="21"/>
          <w:szCs w:val="21"/>
        </w:rPr>
        <w:t>High Commission of India, Education Wing, 36-38, Galle Road, Colombo 03.</w:t>
      </w:r>
    </w:p>
    <w:p w:rsidR="000E2942" w:rsidRPr="000D5060" w:rsidRDefault="000E2942">
      <w:pPr>
        <w:pBdr>
          <w:top w:val="single" w:sz="4" w:space="8" w:color="BFBFBF"/>
        </w:pBdr>
        <w:spacing w:before="260"/>
        <w:rPr>
          <w:rFonts w:ascii="Tahoma" w:hAnsi="Tahoma" w:cs="Tahoma"/>
        </w:rPr>
      </w:pPr>
    </w:p>
    <w:sectPr w:rsidR="000E2942" w:rsidRPr="000D5060" w:rsidSect="009229DD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8A2"/>
    <w:multiLevelType w:val="hybridMultilevel"/>
    <w:tmpl w:val="7A9410CA"/>
    <w:lvl w:ilvl="0" w:tplc="9BDE2396">
      <w:start w:val="1"/>
      <w:numFmt w:val="bullet"/>
      <w:lvlText w:val="•"/>
      <w:lvlJc w:val="left"/>
      <w:pPr>
        <w:ind w:left="420" w:hanging="260"/>
      </w:pPr>
    </w:lvl>
    <w:lvl w:ilvl="1" w:tplc="B08EBA80">
      <w:numFmt w:val="decimal"/>
      <w:lvlText w:val=""/>
      <w:lvlJc w:val="left"/>
    </w:lvl>
    <w:lvl w:ilvl="2" w:tplc="783868FE">
      <w:numFmt w:val="decimal"/>
      <w:lvlText w:val=""/>
      <w:lvlJc w:val="left"/>
    </w:lvl>
    <w:lvl w:ilvl="3" w:tplc="5CD0034A">
      <w:numFmt w:val="decimal"/>
      <w:lvlText w:val=""/>
      <w:lvlJc w:val="left"/>
    </w:lvl>
    <w:lvl w:ilvl="4" w:tplc="A078C652">
      <w:numFmt w:val="decimal"/>
      <w:lvlText w:val=""/>
      <w:lvlJc w:val="left"/>
    </w:lvl>
    <w:lvl w:ilvl="5" w:tplc="DDC6AFF2">
      <w:numFmt w:val="decimal"/>
      <w:lvlText w:val=""/>
      <w:lvlJc w:val="left"/>
    </w:lvl>
    <w:lvl w:ilvl="6" w:tplc="77F212EC">
      <w:numFmt w:val="decimal"/>
      <w:lvlText w:val=""/>
      <w:lvlJc w:val="left"/>
    </w:lvl>
    <w:lvl w:ilvl="7" w:tplc="350A3070">
      <w:numFmt w:val="decimal"/>
      <w:lvlText w:val=""/>
      <w:lvlJc w:val="left"/>
    </w:lvl>
    <w:lvl w:ilvl="8" w:tplc="8A4E3BA4">
      <w:numFmt w:val="decimal"/>
      <w:lvlText w:val=""/>
      <w:lvlJc w:val="left"/>
    </w:lvl>
  </w:abstractNum>
  <w:abstractNum w:abstractNumId="1">
    <w:nsid w:val="346A7CA3"/>
    <w:multiLevelType w:val="hybridMultilevel"/>
    <w:tmpl w:val="8AFA15C8"/>
    <w:lvl w:ilvl="0" w:tplc="1CA2EA9C">
      <w:start w:val="1"/>
      <w:numFmt w:val="bullet"/>
      <w:lvlText w:val="☐"/>
      <w:lvlJc w:val="left"/>
      <w:pPr>
        <w:ind w:left="420" w:hanging="260"/>
      </w:pPr>
    </w:lvl>
    <w:lvl w:ilvl="1" w:tplc="1C7C3B10">
      <w:numFmt w:val="decimal"/>
      <w:lvlText w:val=""/>
      <w:lvlJc w:val="left"/>
    </w:lvl>
    <w:lvl w:ilvl="2" w:tplc="3D3695B6">
      <w:numFmt w:val="decimal"/>
      <w:lvlText w:val=""/>
      <w:lvlJc w:val="left"/>
    </w:lvl>
    <w:lvl w:ilvl="3" w:tplc="16A4F650">
      <w:numFmt w:val="decimal"/>
      <w:lvlText w:val=""/>
      <w:lvlJc w:val="left"/>
    </w:lvl>
    <w:lvl w:ilvl="4" w:tplc="05BE81FC">
      <w:numFmt w:val="decimal"/>
      <w:lvlText w:val=""/>
      <w:lvlJc w:val="left"/>
    </w:lvl>
    <w:lvl w:ilvl="5" w:tplc="41A0ED66">
      <w:numFmt w:val="decimal"/>
      <w:lvlText w:val=""/>
      <w:lvlJc w:val="left"/>
    </w:lvl>
    <w:lvl w:ilvl="6" w:tplc="0F128E96">
      <w:numFmt w:val="decimal"/>
      <w:lvlText w:val=""/>
      <w:lvlJc w:val="left"/>
    </w:lvl>
    <w:lvl w:ilvl="7" w:tplc="7408F680">
      <w:numFmt w:val="decimal"/>
      <w:lvlText w:val=""/>
      <w:lvlJc w:val="left"/>
    </w:lvl>
    <w:lvl w:ilvl="8" w:tplc="33D4B7E4">
      <w:numFmt w:val="decimal"/>
      <w:lvlText w:val=""/>
      <w:lvlJc w:val="left"/>
    </w:lvl>
  </w:abstractNum>
  <w:abstractNum w:abstractNumId="2">
    <w:nsid w:val="62FD5AC7"/>
    <w:multiLevelType w:val="hybridMultilevel"/>
    <w:tmpl w:val="B79EB97E"/>
    <w:lvl w:ilvl="0" w:tplc="A2CCEFE2">
      <w:start w:val="1"/>
      <w:numFmt w:val="bullet"/>
      <w:lvlText w:val="●"/>
      <w:lvlJc w:val="left"/>
      <w:pPr>
        <w:ind w:left="720" w:hanging="360"/>
      </w:pPr>
    </w:lvl>
    <w:lvl w:ilvl="1" w:tplc="3376A97C">
      <w:start w:val="1"/>
      <w:numFmt w:val="bullet"/>
      <w:lvlText w:val="○"/>
      <w:lvlJc w:val="left"/>
      <w:pPr>
        <w:ind w:left="1440" w:hanging="360"/>
      </w:pPr>
    </w:lvl>
    <w:lvl w:ilvl="2" w:tplc="896C59B4">
      <w:start w:val="1"/>
      <w:numFmt w:val="bullet"/>
      <w:lvlText w:val="■"/>
      <w:lvlJc w:val="left"/>
      <w:pPr>
        <w:ind w:left="2160" w:hanging="360"/>
      </w:pPr>
    </w:lvl>
    <w:lvl w:ilvl="3" w:tplc="BC0460EA">
      <w:start w:val="1"/>
      <w:numFmt w:val="bullet"/>
      <w:lvlText w:val="●"/>
      <w:lvlJc w:val="left"/>
      <w:pPr>
        <w:ind w:left="2880" w:hanging="360"/>
      </w:pPr>
    </w:lvl>
    <w:lvl w:ilvl="4" w:tplc="893660EE">
      <w:start w:val="1"/>
      <w:numFmt w:val="bullet"/>
      <w:lvlText w:val="○"/>
      <w:lvlJc w:val="left"/>
      <w:pPr>
        <w:ind w:left="3600" w:hanging="360"/>
      </w:pPr>
    </w:lvl>
    <w:lvl w:ilvl="5" w:tplc="19309D86">
      <w:start w:val="1"/>
      <w:numFmt w:val="bullet"/>
      <w:lvlText w:val="■"/>
      <w:lvlJc w:val="left"/>
      <w:pPr>
        <w:ind w:left="4320" w:hanging="360"/>
      </w:pPr>
    </w:lvl>
    <w:lvl w:ilvl="6" w:tplc="CB10BCE6">
      <w:start w:val="1"/>
      <w:numFmt w:val="bullet"/>
      <w:lvlText w:val="●"/>
      <w:lvlJc w:val="left"/>
      <w:pPr>
        <w:ind w:left="5040" w:hanging="360"/>
      </w:pPr>
    </w:lvl>
    <w:lvl w:ilvl="7" w:tplc="49385086">
      <w:start w:val="1"/>
      <w:numFmt w:val="bullet"/>
      <w:lvlText w:val="●"/>
      <w:lvlJc w:val="left"/>
      <w:pPr>
        <w:ind w:left="5760" w:hanging="360"/>
      </w:pPr>
    </w:lvl>
    <w:lvl w:ilvl="8" w:tplc="9BCA398E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774C7281"/>
    <w:multiLevelType w:val="hybridMultilevel"/>
    <w:tmpl w:val="F9F00A04"/>
    <w:lvl w:ilvl="0" w:tplc="A7144968">
      <w:start w:val="1"/>
      <w:numFmt w:val="decimal"/>
      <w:lvlText w:val="%1."/>
      <w:lvlJc w:val="left"/>
      <w:pPr>
        <w:ind w:left="420" w:hanging="260"/>
      </w:pPr>
    </w:lvl>
    <w:lvl w:ilvl="1" w:tplc="9A38DF60">
      <w:numFmt w:val="decimal"/>
      <w:lvlText w:val=""/>
      <w:lvlJc w:val="left"/>
    </w:lvl>
    <w:lvl w:ilvl="2" w:tplc="EEC46638">
      <w:numFmt w:val="decimal"/>
      <w:lvlText w:val=""/>
      <w:lvlJc w:val="left"/>
    </w:lvl>
    <w:lvl w:ilvl="3" w:tplc="042A26A4">
      <w:numFmt w:val="decimal"/>
      <w:lvlText w:val=""/>
      <w:lvlJc w:val="left"/>
    </w:lvl>
    <w:lvl w:ilvl="4" w:tplc="B02AC666">
      <w:numFmt w:val="decimal"/>
      <w:lvlText w:val=""/>
      <w:lvlJc w:val="left"/>
    </w:lvl>
    <w:lvl w:ilvl="5" w:tplc="CE9CB688">
      <w:numFmt w:val="decimal"/>
      <w:lvlText w:val=""/>
      <w:lvlJc w:val="left"/>
    </w:lvl>
    <w:lvl w:ilvl="6" w:tplc="29947932">
      <w:numFmt w:val="decimal"/>
      <w:lvlText w:val=""/>
      <w:lvlJc w:val="left"/>
    </w:lvl>
    <w:lvl w:ilvl="7" w:tplc="E5BACC96">
      <w:numFmt w:val="decimal"/>
      <w:lvlText w:val=""/>
      <w:lvlJc w:val="left"/>
    </w:lvl>
    <w:lvl w:ilvl="8" w:tplc="2C4E02FE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E2942"/>
    <w:rsid w:val="000D5060"/>
    <w:rsid w:val="000E2942"/>
    <w:rsid w:val="001E2925"/>
    <w:rsid w:val="00267D06"/>
    <w:rsid w:val="00335C8C"/>
    <w:rsid w:val="008B3E39"/>
    <w:rsid w:val="00912C46"/>
    <w:rsid w:val="009229DD"/>
    <w:rsid w:val="00E43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9DD"/>
  </w:style>
  <w:style w:type="paragraph" w:styleId="Heading1">
    <w:name w:val="heading 1"/>
    <w:uiPriority w:val="9"/>
    <w:qFormat/>
    <w:rsid w:val="009229DD"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rsid w:val="009229DD"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rsid w:val="009229DD"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rsid w:val="009229DD"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rsid w:val="009229DD"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rsid w:val="009229DD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sid w:val="009229DD"/>
    <w:rPr>
      <w:sz w:val="56"/>
      <w:szCs w:val="56"/>
    </w:rPr>
  </w:style>
  <w:style w:type="paragraph" w:customStyle="1" w:styleId="Strong1">
    <w:name w:val="Strong1"/>
    <w:qFormat/>
    <w:rsid w:val="009229DD"/>
    <w:rPr>
      <w:b/>
      <w:bCs/>
    </w:rPr>
  </w:style>
  <w:style w:type="paragraph" w:styleId="ListParagraph">
    <w:name w:val="List Paragraph"/>
    <w:qFormat/>
    <w:rsid w:val="009229DD"/>
  </w:style>
  <w:style w:type="character" w:styleId="Hyperlink">
    <w:name w:val="Hyperlink"/>
    <w:uiPriority w:val="99"/>
    <w:unhideWhenUsed/>
    <w:rsid w:val="009229DD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9229DD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9229DD"/>
  </w:style>
  <w:style w:type="character" w:customStyle="1" w:styleId="FootnoteTextChar">
    <w:name w:val="Footnote Text Char"/>
    <w:link w:val="FootnoteText"/>
    <w:uiPriority w:val="99"/>
    <w:semiHidden/>
    <w:unhideWhenUsed/>
    <w:rsid w:val="009229D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229DD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9229DD"/>
  </w:style>
  <w:style w:type="character" w:customStyle="1" w:styleId="EndnoteTextChar">
    <w:name w:val="Endnote Text Char"/>
    <w:link w:val="EndnoteText"/>
    <w:uiPriority w:val="99"/>
    <w:semiHidden/>
    <w:unhideWhenUsed/>
    <w:rsid w:val="009229D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.colombo@mea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2ascholarships.iccr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gc.ac.lk" TargetMode="External"/><Relationship Id="rId5" Type="http://schemas.openxmlformats.org/officeDocument/2006/relationships/hyperlink" Target="https://www.mohe.gov.l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7779</Characters>
  <Application>Microsoft Office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2026-07-21T10:49:00Z</dcterms:created>
  <dcterms:modified xsi:type="dcterms:W3CDTF">2026-07-21T10:49:00Z</dcterms:modified>
</cp:coreProperties>
</file>